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adjustRightInd w:val="0"/>
        <w:snapToGrid w:val="0"/>
        <w:spacing w:line="360" w:lineRule="auto"/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上海第二工业大学青年教师教学竞赛</w:t>
      </w:r>
      <w:r>
        <w:rPr>
          <w:rFonts w:hint="eastAsia" w:ascii="宋体" w:hAnsi="宋体"/>
          <w:b/>
          <w:sz w:val="30"/>
          <w:szCs w:val="30"/>
        </w:rPr>
        <w:t>组委会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组委会由校领导及校工会、教务处、人事处、教师工作部负责人组成，主任由分管校领导担任，组委会下设办公室，办公室设在教务处、校工会。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ZjMjM3YmQwMzVjMGE1Zjk4YWJlMDYzOGUyMTcifQ=="/>
  </w:docVars>
  <w:rsids>
    <w:rsidRoot w:val="78214EF3"/>
    <w:rsid w:val="782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2023-09-26T07:11:00Z</dcterms:created>
  <dc:creator>茗轩</dc:creator>
  <cp:lastModifiedBy>茗轩</cp:lastModifiedBy>
  <dcterms:modified xsi:type="dcterms:W3CDTF">2023-09-26T07:12:04Z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9875A48B21AA4E97AE3DEFEDCCF7E77C_11</vt:lpwstr>
  </property>
</Properties>
</file>