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heme="minorEastAsia" w:hAnsiTheme="minorEastAsia" w:eastAsiaTheme="minorEastAsia"/>
          <w:b/>
          <w:bCs/>
          <w:kern w:val="0"/>
          <w:sz w:val="28"/>
          <w:szCs w:val="28"/>
          <w:lang w:eastAsia="zh-CN"/>
        </w:rPr>
      </w:pPr>
      <w:r>
        <w:rPr>
          <w:rFonts w:hint="eastAsia" w:asciiTheme="minorEastAsia" w:hAnsiTheme="minorEastAsia" w:eastAsiaTheme="minorEastAsia"/>
          <w:b/>
          <w:bCs/>
          <w:kern w:val="0"/>
          <w:sz w:val="28"/>
          <w:szCs w:val="28"/>
          <w:lang w:eastAsia="zh-CN"/>
        </w:rPr>
        <w:t>待结项一览表</w:t>
      </w:r>
    </w:p>
    <w:p>
      <w:pPr>
        <w:widowControl/>
        <w:jc w:val="lef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lang w:eastAsia="zh-CN"/>
        </w:rPr>
        <w:t>）青年项目</w:t>
      </w:r>
    </w:p>
    <w:tbl>
      <w:tblPr>
        <w:tblStyle w:val="2"/>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007"/>
        <w:gridCol w:w="1253"/>
        <w:gridCol w:w="132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1" w:type="pct"/>
            <w:shd w:val="clear" w:color="auto" w:fill="auto"/>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负责人</w:t>
            </w:r>
          </w:p>
        </w:tc>
        <w:tc>
          <w:tcPr>
            <w:tcW w:w="1804" w:type="pct"/>
            <w:shd w:val="clear" w:color="auto" w:fill="auto"/>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项目名称</w:t>
            </w:r>
          </w:p>
        </w:tc>
        <w:tc>
          <w:tcPr>
            <w:tcW w:w="751" w:type="pct"/>
            <w:shd w:val="clear" w:color="auto" w:fill="auto"/>
            <w:vAlign w:val="center"/>
          </w:tcPr>
          <w:p>
            <w:pPr>
              <w:widowControl/>
              <w:jc w:val="center"/>
              <w:rPr>
                <w:rFonts w:asciiTheme="minorEastAsia" w:hAnsiTheme="minorEastAsia" w:eastAsiaTheme="minorEastAsia"/>
                <w:kern w:val="0"/>
                <w:szCs w:val="21"/>
              </w:rPr>
            </w:pPr>
            <w:r>
              <w:rPr>
                <w:rFonts w:asciiTheme="minorEastAsia" w:hAnsiTheme="minorEastAsia" w:eastAsiaTheme="minorEastAsia"/>
                <w:kern w:val="0"/>
                <w:szCs w:val="21"/>
              </w:rPr>
              <w:t>所在部门</w:t>
            </w:r>
          </w:p>
        </w:tc>
        <w:tc>
          <w:tcPr>
            <w:tcW w:w="791"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立项编号</w:t>
            </w:r>
          </w:p>
        </w:tc>
        <w:tc>
          <w:tcPr>
            <w:tcW w:w="1070"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项目期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韩彬</w:t>
            </w:r>
          </w:p>
        </w:tc>
        <w:tc>
          <w:tcPr>
            <w:tcW w:w="1804"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基于界面调控的SiCw-石墨烯强韧化WC基自润滑刀具研究</w:t>
            </w:r>
          </w:p>
        </w:tc>
        <w:tc>
          <w:tcPr>
            <w:tcW w:w="751"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智能制造与控制工程学院</w:t>
            </w:r>
          </w:p>
        </w:tc>
        <w:tc>
          <w:tcPr>
            <w:tcW w:w="791" w:type="pct"/>
            <w:shd w:val="clear" w:color="auto" w:fill="auto"/>
            <w:noWrap/>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EGD23QD01</w:t>
            </w:r>
          </w:p>
        </w:tc>
        <w:tc>
          <w:tcPr>
            <w:tcW w:w="1070" w:type="pct"/>
            <w:shd w:val="clear" w:color="auto" w:fill="auto"/>
            <w:noWrap/>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刘诺</w:t>
            </w:r>
          </w:p>
        </w:tc>
        <w:tc>
          <w:tcPr>
            <w:tcW w:w="1804"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改性纳米零价铁材料分级逐步回收污泥中的铜、铅机制研究</w:t>
            </w:r>
          </w:p>
        </w:tc>
        <w:tc>
          <w:tcPr>
            <w:tcW w:w="751"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资源与环境工程学院</w:t>
            </w:r>
          </w:p>
        </w:tc>
        <w:tc>
          <w:tcPr>
            <w:tcW w:w="791" w:type="pct"/>
            <w:shd w:val="clear" w:color="auto" w:fill="auto"/>
            <w:noWrap/>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EGD23QD02</w:t>
            </w:r>
          </w:p>
        </w:tc>
        <w:tc>
          <w:tcPr>
            <w:tcW w:w="1070" w:type="pct"/>
            <w:shd w:val="clear" w:color="auto" w:fill="auto"/>
            <w:noWrap/>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王鑫</w:t>
            </w:r>
          </w:p>
        </w:tc>
        <w:tc>
          <w:tcPr>
            <w:tcW w:w="1804"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空间维度热退火调控钙钛矿太阳能电池的结晶动力学与性能研究</w:t>
            </w:r>
          </w:p>
        </w:tc>
        <w:tc>
          <w:tcPr>
            <w:tcW w:w="751"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能源与材料学院</w:t>
            </w:r>
          </w:p>
        </w:tc>
        <w:tc>
          <w:tcPr>
            <w:tcW w:w="791" w:type="pct"/>
            <w:shd w:val="clear" w:color="auto" w:fill="auto"/>
            <w:noWrap/>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EGD23QD03</w:t>
            </w:r>
          </w:p>
        </w:tc>
        <w:tc>
          <w:tcPr>
            <w:tcW w:w="1070" w:type="pct"/>
            <w:shd w:val="clear" w:color="auto" w:fill="auto"/>
            <w:noWrap/>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罗吉</w:t>
            </w:r>
          </w:p>
        </w:tc>
        <w:tc>
          <w:tcPr>
            <w:tcW w:w="1804"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“双碳”目标下绿色金融市场风险优化路径研究</w:t>
            </w:r>
          </w:p>
        </w:tc>
        <w:tc>
          <w:tcPr>
            <w:tcW w:w="751"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经济与管理学院</w:t>
            </w:r>
          </w:p>
        </w:tc>
        <w:tc>
          <w:tcPr>
            <w:tcW w:w="791" w:type="pct"/>
            <w:shd w:val="clear" w:color="auto" w:fill="auto"/>
            <w:noWrap/>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EGD23QD04</w:t>
            </w:r>
          </w:p>
        </w:tc>
        <w:tc>
          <w:tcPr>
            <w:tcW w:w="1070" w:type="pct"/>
            <w:shd w:val="clear" w:color="auto" w:fill="auto"/>
            <w:noWrap/>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张贤</w:t>
            </w:r>
          </w:p>
        </w:tc>
        <w:tc>
          <w:tcPr>
            <w:tcW w:w="1804"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基于音乐可视化缓解疲劳的神经机制探究</w:t>
            </w:r>
          </w:p>
        </w:tc>
        <w:tc>
          <w:tcPr>
            <w:tcW w:w="751" w:type="pct"/>
            <w:shd w:val="clear" w:color="auto" w:fill="auto"/>
            <w:vAlign w:val="center"/>
          </w:tcPr>
          <w:p>
            <w:pPr>
              <w:widowControl/>
              <w:jc w:val="center"/>
              <w:textAlignment w:val="center"/>
              <w:rPr>
                <w:rFonts w:hint="eastAsia" w:ascii="等线" w:hAnsi="等线" w:eastAsia="等线" w:cs="等线"/>
                <w:color w:val="000000"/>
                <w:kern w:val="0"/>
                <w:sz w:val="22"/>
                <w:lang w:eastAsia="zh-CN" w:bidi="ar"/>
              </w:rPr>
            </w:pPr>
            <w:r>
              <w:rPr>
                <w:rFonts w:hint="eastAsia" w:ascii="等线" w:hAnsi="等线" w:eastAsia="等线" w:cs="等线"/>
                <w:color w:val="000000"/>
                <w:kern w:val="0"/>
                <w:sz w:val="22"/>
                <w:lang w:bidi="ar"/>
              </w:rPr>
              <w:t>应用艺术设计学院</w:t>
            </w:r>
          </w:p>
        </w:tc>
        <w:tc>
          <w:tcPr>
            <w:tcW w:w="791" w:type="pct"/>
            <w:shd w:val="clear" w:color="auto" w:fill="auto"/>
            <w:noWrap/>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EGD23QD05</w:t>
            </w:r>
          </w:p>
        </w:tc>
        <w:tc>
          <w:tcPr>
            <w:tcW w:w="1070" w:type="pct"/>
            <w:shd w:val="clear" w:color="auto" w:fill="auto"/>
            <w:noWrap/>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1"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李霞</w:t>
            </w:r>
          </w:p>
        </w:tc>
        <w:tc>
          <w:tcPr>
            <w:tcW w:w="1804"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“双师型”教师职业特质的模型建构研究</w:t>
            </w:r>
          </w:p>
        </w:tc>
        <w:tc>
          <w:tcPr>
            <w:tcW w:w="751" w:type="pct"/>
            <w:shd w:val="clear" w:color="auto" w:fill="auto"/>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职业技术教师教育学院</w:t>
            </w:r>
          </w:p>
        </w:tc>
        <w:tc>
          <w:tcPr>
            <w:tcW w:w="791" w:type="pct"/>
            <w:shd w:val="clear" w:color="auto" w:fill="auto"/>
            <w:noWrap/>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EGD23QD06</w:t>
            </w:r>
          </w:p>
        </w:tc>
        <w:tc>
          <w:tcPr>
            <w:tcW w:w="1070" w:type="pct"/>
            <w:shd w:val="clear" w:color="auto" w:fill="auto"/>
            <w:noWrap/>
            <w:vAlign w:val="center"/>
          </w:tcPr>
          <w:p>
            <w:pPr>
              <w:widowControl/>
              <w:jc w:val="center"/>
              <w:textAlignment w:val="center"/>
              <w:rPr>
                <w:rFonts w:hint="eastAsia" w:ascii="等线" w:hAnsi="等线" w:eastAsia="等线" w:cs="等线"/>
                <w:color w:val="000000"/>
                <w:kern w:val="0"/>
                <w:sz w:val="22"/>
                <w:lang w:bidi="ar"/>
              </w:rPr>
            </w:pPr>
            <w:r>
              <w:rPr>
                <w:rFonts w:hint="eastAsia" w:ascii="等线" w:hAnsi="等线" w:eastAsia="等线" w:cs="等线"/>
                <w:color w:val="000000"/>
                <w:kern w:val="0"/>
                <w:sz w:val="22"/>
                <w:lang w:bidi="ar"/>
              </w:rPr>
              <w:t>2023.1.1-2023.11.30</w:t>
            </w:r>
          </w:p>
        </w:tc>
      </w:tr>
    </w:tbl>
    <w:p/>
    <w:p>
      <w:pPr>
        <w:numPr>
          <w:ilvl w:val="0"/>
          <w:numId w:val="1"/>
        </w:numPr>
        <w:rPr>
          <w:rFonts w:hint="eastAsia"/>
          <w:lang w:eastAsia="zh-CN"/>
        </w:rPr>
      </w:pPr>
      <w:r>
        <w:rPr>
          <w:rFonts w:hint="eastAsia"/>
          <w:lang w:eastAsia="zh-CN"/>
        </w:rPr>
        <w:t>研究生副导师</w:t>
      </w:r>
    </w:p>
    <w:tbl>
      <w:tblPr>
        <w:tblStyle w:val="2"/>
        <w:tblW w:w="49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165"/>
        <w:gridCol w:w="1275"/>
        <w:gridCol w:w="139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4"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负责人</w:t>
            </w:r>
          </w:p>
        </w:tc>
        <w:tc>
          <w:tcPr>
            <w:tcW w:w="189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项目名称</w:t>
            </w:r>
          </w:p>
        </w:tc>
        <w:tc>
          <w:tcPr>
            <w:tcW w:w="762" w:type="pct"/>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所在部门</w:t>
            </w:r>
          </w:p>
        </w:tc>
        <w:tc>
          <w:tcPr>
            <w:tcW w:w="833"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立项编号</w:t>
            </w:r>
          </w:p>
        </w:tc>
        <w:tc>
          <w:tcPr>
            <w:tcW w:w="977" w:type="pct"/>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项目期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杨威</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设计模型工艺性缺陷智能修复理论与方法研究</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智能制造与控制工程学院</w:t>
            </w:r>
          </w:p>
        </w:tc>
        <w:tc>
          <w:tcPr>
            <w:tcW w:w="139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w:t>
            </w:r>
            <w:r>
              <w:rPr>
                <w:rFonts w:hint="eastAsia" w:ascii="Times New Roman" w:hAnsi="Times New Roman"/>
                <w:color w:val="000000"/>
                <w:kern w:val="0"/>
                <w:szCs w:val="21"/>
              </w:rPr>
              <w:t>3</w:t>
            </w:r>
            <w:r>
              <w:rPr>
                <w:rFonts w:ascii="Times New Roman" w:hAnsi="Times New Roman"/>
                <w:color w:val="000000"/>
                <w:kern w:val="0"/>
                <w:szCs w:val="21"/>
              </w:rPr>
              <w:t>DS01</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trPr>
        <w:tc>
          <w:tcPr>
            <w:tcW w:w="534" w:type="pct"/>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赵艳哲</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镍钛形状记忆合金零相变切削机理研究</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智能制造与控制工程学院</w:t>
            </w:r>
          </w:p>
        </w:tc>
        <w:tc>
          <w:tcPr>
            <w:tcW w:w="139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w:t>
            </w:r>
            <w:r>
              <w:rPr>
                <w:rFonts w:hint="eastAsia" w:ascii="Times New Roman" w:hAnsi="Times New Roman"/>
                <w:color w:val="000000"/>
                <w:kern w:val="0"/>
                <w:szCs w:val="21"/>
              </w:rPr>
              <w:t>3</w:t>
            </w:r>
            <w:r>
              <w:rPr>
                <w:rFonts w:ascii="Times New Roman" w:hAnsi="Times New Roman"/>
                <w:color w:val="000000"/>
                <w:kern w:val="0"/>
                <w:szCs w:val="21"/>
              </w:rPr>
              <w:t>DS02</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潘芳煜</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数控设备精度研究</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智能制造与控制工程学院</w:t>
            </w:r>
          </w:p>
        </w:tc>
        <w:tc>
          <w:tcPr>
            <w:tcW w:w="139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w:t>
            </w:r>
            <w:r>
              <w:rPr>
                <w:rFonts w:hint="eastAsia" w:ascii="Times New Roman" w:hAnsi="Times New Roman"/>
                <w:color w:val="000000"/>
                <w:kern w:val="0"/>
                <w:szCs w:val="21"/>
              </w:rPr>
              <w:t>3</w:t>
            </w:r>
            <w:r>
              <w:rPr>
                <w:rFonts w:ascii="Times New Roman" w:hAnsi="Times New Roman"/>
                <w:color w:val="000000"/>
                <w:kern w:val="0"/>
                <w:szCs w:val="21"/>
              </w:rPr>
              <w:t>DS03</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俞晓晓</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光/热催化三相界面反应系统优化设计及其能量管理</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能源与材料学院</w:t>
            </w:r>
          </w:p>
        </w:tc>
        <w:tc>
          <w:tcPr>
            <w:tcW w:w="139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EGD23DS10</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朱大海</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低温等离子体耦合光热催化剂强化水体中的多氟和全氟化合物去除研究  </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能源与材料学院</w:t>
            </w:r>
          </w:p>
        </w:tc>
        <w:tc>
          <w:tcPr>
            <w:tcW w:w="139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EGD23DS11</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陈睿</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基于超临界CO</w:t>
            </w:r>
            <w:r>
              <w:rPr>
                <w:rFonts w:ascii="Times New Roman" w:hAnsi="Times New Roman"/>
                <w:color w:val="000000"/>
                <w:kern w:val="0"/>
                <w:szCs w:val="21"/>
              </w:rPr>
              <w:t>2布雷顿循环的新型光伏/光热联合发电系统能量匹配和调控方法研究</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能源与材料学院</w:t>
            </w:r>
          </w:p>
        </w:tc>
        <w:tc>
          <w:tcPr>
            <w:tcW w:w="139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EGD23DS12</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郭丽和</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高储能、高导热多层梯度薄膜电容器性能研究</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能源与材料学院</w:t>
            </w:r>
          </w:p>
        </w:tc>
        <w:tc>
          <w:tcPr>
            <w:tcW w:w="139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EGD23DS13</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高瑞玲</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新能源车载传感器的核心数据测量方法优化</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计算机与信息工程学院</w:t>
            </w:r>
          </w:p>
        </w:tc>
        <w:tc>
          <w:tcPr>
            <w:tcW w:w="139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w:t>
            </w:r>
            <w:r>
              <w:rPr>
                <w:rFonts w:hint="eastAsia" w:ascii="Times New Roman" w:hAnsi="Times New Roman"/>
                <w:color w:val="000000"/>
                <w:kern w:val="0"/>
                <w:szCs w:val="21"/>
              </w:rPr>
              <w:t>3</w:t>
            </w:r>
            <w:r>
              <w:rPr>
                <w:rFonts w:ascii="Times New Roman" w:hAnsi="Times New Roman"/>
                <w:color w:val="000000"/>
                <w:kern w:val="0"/>
                <w:szCs w:val="21"/>
              </w:rPr>
              <w:t>DS0</w:t>
            </w:r>
            <w:r>
              <w:rPr>
                <w:rFonts w:hint="eastAsia" w:ascii="Times New Roman" w:hAnsi="Times New Roman"/>
                <w:color w:val="000000"/>
                <w:kern w:val="0"/>
                <w:szCs w:val="21"/>
              </w:rPr>
              <w:t>4</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王家辉</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融合群体信息的图神经网络表达能力优化方法研究</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计算机与信息工程学院</w:t>
            </w:r>
          </w:p>
        </w:tc>
        <w:tc>
          <w:tcPr>
            <w:tcW w:w="139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EGD23DS05</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于晓璞</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基于索引调制的物联网物理层传输技术研究</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计算机与信息工程学院</w:t>
            </w:r>
          </w:p>
        </w:tc>
        <w:tc>
          <w:tcPr>
            <w:tcW w:w="139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EGD23DS06</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司小朦</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基于子空间的低质量多视角数据聚类方法的关键技术研究及其应用</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计算机与信息工程学院</w:t>
            </w:r>
          </w:p>
        </w:tc>
        <w:tc>
          <w:tcPr>
            <w:tcW w:w="139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EGD23DS07</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34" w:type="pct"/>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闫之焕</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多模态人物地知识图谱构建技术研究</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计算机与信息工程学院</w:t>
            </w:r>
          </w:p>
        </w:tc>
        <w:tc>
          <w:tcPr>
            <w:tcW w:w="139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EGD23DS08</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牛森</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边缘服务协同优化与推荐技术研究</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计算机与信息工程学院</w:t>
            </w:r>
          </w:p>
        </w:tc>
        <w:tc>
          <w:tcPr>
            <w:tcW w:w="139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EGD23DS09</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shd w:val="clear" w:color="auto" w:fill="auto"/>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李翠翠</w:t>
            </w:r>
          </w:p>
        </w:tc>
        <w:tc>
          <w:tcPr>
            <w:tcW w:w="3165" w:type="dxa"/>
            <w:shd w:val="clear" w:color="auto" w:fill="auto"/>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中职学校“双师型”教师教学能力评价研究</w:t>
            </w:r>
          </w:p>
        </w:tc>
        <w:tc>
          <w:tcPr>
            <w:tcW w:w="1275" w:type="dxa"/>
            <w:shd w:val="clear" w:color="auto" w:fill="auto"/>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职业技术教师教育学院</w:t>
            </w:r>
          </w:p>
        </w:tc>
        <w:tc>
          <w:tcPr>
            <w:tcW w:w="1395" w:type="dxa"/>
            <w:shd w:val="clear" w:color="auto" w:fill="auto"/>
            <w:noWrap/>
            <w:vAlign w:val="top"/>
          </w:tcPr>
          <w:p>
            <w:pPr>
              <w:widowControl/>
              <w:jc w:val="center"/>
              <w:rPr>
                <w:rFonts w:ascii="Times New Roman" w:hAnsi="Times New Roman"/>
                <w:color w:val="000000"/>
                <w:kern w:val="0"/>
                <w:szCs w:val="21"/>
              </w:rPr>
            </w:pPr>
            <w:r>
              <w:rPr>
                <w:rFonts w:ascii="Times New Roman" w:hAnsi="Times New Roman"/>
                <w:color w:val="000000"/>
                <w:kern w:val="0"/>
                <w:szCs w:val="21"/>
              </w:rPr>
              <w:t>EGD23DS21</w:t>
            </w:r>
          </w:p>
        </w:tc>
        <w:tc>
          <w:tcPr>
            <w:tcW w:w="1635" w:type="dxa"/>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pct"/>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李丰</w:t>
            </w:r>
          </w:p>
        </w:tc>
        <w:tc>
          <w:tcPr>
            <w:tcW w:w="3165"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多中心治理理论视角下职业院校教师教学创新团队建设研究</w:t>
            </w:r>
          </w:p>
        </w:tc>
        <w:tc>
          <w:tcPr>
            <w:tcW w:w="127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职业技术教师教育学院</w:t>
            </w:r>
          </w:p>
        </w:tc>
        <w:tc>
          <w:tcPr>
            <w:tcW w:w="1395" w:type="dxa"/>
            <w:vAlign w:val="top"/>
          </w:tcPr>
          <w:p>
            <w:pPr>
              <w:widowControl/>
              <w:jc w:val="center"/>
              <w:rPr>
                <w:rFonts w:ascii="Times New Roman" w:hAnsi="Times New Roman"/>
                <w:color w:val="000000"/>
                <w:kern w:val="0"/>
                <w:szCs w:val="21"/>
              </w:rPr>
            </w:pPr>
            <w:r>
              <w:rPr>
                <w:rFonts w:ascii="Times New Roman" w:hAnsi="Times New Roman"/>
                <w:color w:val="000000"/>
                <w:kern w:val="0"/>
                <w:szCs w:val="21"/>
              </w:rPr>
              <w:t>EGD23DS22</w:t>
            </w:r>
          </w:p>
        </w:tc>
        <w:tc>
          <w:tcPr>
            <w:tcW w:w="163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李静</w:t>
            </w:r>
          </w:p>
        </w:tc>
        <w:tc>
          <w:tcPr>
            <w:tcW w:w="3165"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职普融通视域下长三角地区乡村中学引入职业教育的路径探究  </w:t>
            </w:r>
          </w:p>
        </w:tc>
        <w:tc>
          <w:tcPr>
            <w:tcW w:w="127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职业技术教师教育学院</w:t>
            </w:r>
          </w:p>
        </w:tc>
        <w:tc>
          <w:tcPr>
            <w:tcW w:w="1395" w:type="dxa"/>
            <w:vAlign w:val="top"/>
          </w:tcPr>
          <w:p>
            <w:pPr>
              <w:widowControl/>
              <w:jc w:val="center"/>
              <w:rPr>
                <w:rFonts w:ascii="Times New Roman" w:hAnsi="Times New Roman"/>
                <w:color w:val="000000"/>
                <w:kern w:val="0"/>
                <w:szCs w:val="21"/>
              </w:rPr>
            </w:pPr>
            <w:r>
              <w:rPr>
                <w:rFonts w:ascii="Times New Roman" w:hAnsi="Times New Roman"/>
                <w:color w:val="000000"/>
                <w:kern w:val="0"/>
                <w:szCs w:val="21"/>
              </w:rPr>
              <w:t>EGD23DS23</w:t>
            </w:r>
          </w:p>
        </w:tc>
        <w:tc>
          <w:tcPr>
            <w:tcW w:w="163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俞佳立</w:t>
            </w:r>
          </w:p>
        </w:tc>
        <w:tc>
          <w:tcPr>
            <w:tcW w:w="3165"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金融集聚与城市高质量发展研究 </w:t>
            </w:r>
          </w:p>
        </w:tc>
        <w:tc>
          <w:tcPr>
            <w:tcW w:w="127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经济与管理学院</w:t>
            </w:r>
          </w:p>
        </w:tc>
        <w:tc>
          <w:tcPr>
            <w:tcW w:w="139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EGD23DS14</w:t>
            </w:r>
          </w:p>
        </w:tc>
        <w:tc>
          <w:tcPr>
            <w:tcW w:w="163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刘宇</w:t>
            </w:r>
          </w:p>
        </w:tc>
        <w:tc>
          <w:tcPr>
            <w:tcW w:w="3165"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数字贸易格局演进、发展趋势及应对</w:t>
            </w:r>
          </w:p>
        </w:tc>
        <w:tc>
          <w:tcPr>
            <w:tcW w:w="127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经济与管理学院</w:t>
            </w:r>
          </w:p>
        </w:tc>
        <w:tc>
          <w:tcPr>
            <w:tcW w:w="1395" w:type="dxa"/>
            <w:vAlign w:val="top"/>
          </w:tcPr>
          <w:p>
            <w:pPr>
              <w:widowControl/>
              <w:jc w:val="center"/>
              <w:rPr>
                <w:rFonts w:ascii="Times New Roman" w:hAnsi="Times New Roman"/>
                <w:color w:val="000000"/>
                <w:kern w:val="0"/>
                <w:szCs w:val="21"/>
              </w:rPr>
            </w:pPr>
            <w:r>
              <w:rPr>
                <w:rFonts w:ascii="Times New Roman" w:hAnsi="Times New Roman"/>
                <w:color w:val="000000"/>
                <w:kern w:val="0"/>
                <w:szCs w:val="21"/>
              </w:rPr>
              <w:t>EGD23DS15</w:t>
            </w:r>
          </w:p>
        </w:tc>
        <w:tc>
          <w:tcPr>
            <w:tcW w:w="163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李奇璘</w:t>
            </w:r>
          </w:p>
        </w:tc>
        <w:tc>
          <w:tcPr>
            <w:tcW w:w="3165"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数字化转型重塑我国服务贸易影响力</w:t>
            </w:r>
          </w:p>
        </w:tc>
        <w:tc>
          <w:tcPr>
            <w:tcW w:w="127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经济与管理学院</w:t>
            </w:r>
          </w:p>
        </w:tc>
        <w:tc>
          <w:tcPr>
            <w:tcW w:w="1395" w:type="dxa"/>
            <w:vAlign w:val="top"/>
          </w:tcPr>
          <w:p>
            <w:pPr>
              <w:widowControl/>
              <w:jc w:val="center"/>
              <w:rPr>
                <w:rFonts w:ascii="Times New Roman" w:hAnsi="Times New Roman"/>
                <w:color w:val="000000"/>
                <w:kern w:val="0"/>
                <w:szCs w:val="21"/>
              </w:rPr>
            </w:pPr>
            <w:r>
              <w:rPr>
                <w:rFonts w:ascii="Times New Roman" w:hAnsi="Times New Roman"/>
                <w:color w:val="000000"/>
                <w:kern w:val="0"/>
                <w:szCs w:val="21"/>
              </w:rPr>
              <w:t>EGD23DS16</w:t>
            </w:r>
          </w:p>
        </w:tc>
        <w:tc>
          <w:tcPr>
            <w:tcW w:w="163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田金梅</w:t>
            </w:r>
          </w:p>
        </w:tc>
        <w:tc>
          <w:tcPr>
            <w:tcW w:w="3165"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基于利益相关者的绿色会展协同推进机制研究</w:t>
            </w:r>
          </w:p>
        </w:tc>
        <w:tc>
          <w:tcPr>
            <w:tcW w:w="127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经济与管理学院</w:t>
            </w:r>
          </w:p>
        </w:tc>
        <w:tc>
          <w:tcPr>
            <w:tcW w:w="1395" w:type="dxa"/>
            <w:vAlign w:val="top"/>
          </w:tcPr>
          <w:p>
            <w:pPr>
              <w:widowControl/>
              <w:jc w:val="center"/>
              <w:rPr>
                <w:rFonts w:ascii="Times New Roman" w:hAnsi="Times New Roman"/>
                <w:color w:val="000000"/>
                <w:kern w:val="0"/>
                <w:szCs w:val="21"/>
              </w:rPr>
            </w:pPr>
            <w:r>
              <w:rPr>
                <w:rFonts w:ascii="Times New Roman" w:hAnsi="Times New Roman"/>
                <w:color w:val="000000"/>
                <w:kern w:val="0"/>
                <w:szCs w:val="21"/>
              </w:rPr>
              <w:t>EGD23DS17</w:t>
            </w:r>
          </w:p>
        </w:tc>
        <w:tc>
          <w:tcPr>
            <w:tcW w:w="163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尉芳芳</w:t>
            </w:r>
          </w:p>
        </w:tc>
        <w:tc>
          <w:tcPr>
            <w:tcW w:w="3165"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低碳转型视角下钢铁闭环供应链激励机制研究</w:t>
            </w:r>
          </w:p>
        </w:tc>
        <w:tc>
          <w:tcPr>
            <w:tcW w:w="127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经济与管理学院</w:t>
            </w:r>
          </w:p>
        </w:tc>
        <w:tc>
          <w:tcPr>
            <w:tcW w:w="1395" w:type="dxa"/>
            <w:vAlign w:val="top"/>
          </w:tcPr>
          <w:p>
            <w:pPr>
              <w:widowControl/>
              <w:jc w:val="center"/>
              <w:rPr>
                <w:rFonts w:ascii="Times New Roman" w:hAnsi="Times New Roman"/>
                <w:color w:val="000000"/>
                <w:kern w:val="0"/>
                <w:szCs w:val="21"/>
              </w:rPr>
            </w:pPr>
            <w:r>
              <w:rPr>
                <w:rFonts w:ascii="Times New Roman" w:hAnsi="Times New Roman"/>
                <w:color w:val="000000"/>
                <w:kern w:val="0"/>
                <w:szCs w:val="21"/>
              </w:rPr>
              <w:t>EGD23DS18</w:t>
            </w:r>
          </w:p>
        </w:tc>
        <w:tc>
          <w:tcPr>
            <w:tcW w:w="163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张辉</w:t>
            </w:r>
          </w:p>
        </w:tc>
        <w:tc>
          <w:tcPr>
            <w:tcW w:w="3165"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印度主流媒体“一带一路”报道的话语研究</w:t>
            </w:r>
          </w:p>
        </w:tc>
        <w:tc>
          <w:tcPr>
            <w:tcW w:w="1275"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外语与文化传播学院</w:t>
            </w:r>
          </w:p>
        </w:tc>
        <w:tc>
          <w:tcPr>
            <w:tcW w:w="1395" w:type="dxa"/>
            <w:vAlign w:val="top"/>
          </w:tcPr>
          <w:p>
            <w:pPr>
              <w:widowControl/>
              <w:jc w:val="center"/>
              <w:rPr>
                <w:rFonts w:ascii="Times New Roman" w:hAnsi="Times New Roman"/>
                <w:color w:val="000000"/>
                <w:kern w:val="0"/>
                <w:szCs w:val="21"/>
              </w:rPr>
            </w:pPr>
            <w:r>
              <w:rPr>
                <w:rFonts w:ascii="Times New Roman" w:hAnsi="Times New Roman"/>
                <w:color w:val="000000"/>
                <w:kern w:val="0"/>
                <w:szCs w:val="21"/>
              </w:rPr>
              <w:t>EGD23DS19</w:t>
            </w:r>
          </w:p>
        </w:tc>
        <w:tc>
          <w:tcPr>
            <w:tcW w:w="163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34" w:type="pct"/>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徐鹏</w:t>
            </w:r>
          </w:p>
        </w:tc>
        <w:tc>
          <w:tcPr>
            <w:tcW w:w="3165" w:type="dxa"/>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面向共同富裕的智慧社区模块化产品设计体系研究</w:t>
            </w:r>
          </w:p>
        </w:tc>
        <w:tc>
          <w:tcPr>
            <w:tcW w:w="127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应用艺术设计学院</w:t>
            </w:r>
          </w:p>
        </w:tc>
        <w:tc>
          <w:tcPr>
            <w:tcW w:w="1395" w:type="dxa"/>
            <w:vAlign w:val="top"/>
          </w:tcPr>
          <w:p>
            <w:pPr>
              <w:widowControl/>
              <w:jc w:val="center"/>
              <w:rPr>
                <w:rFonts w:ascii="Times New Roman" w:hAnsi="Times New Roman"/>
                <w:color w:val="000000"/>
                <w:kern w:val="0"/>
                <w:szCs w:val="21"/>
              </w:rPr>
            </w:pPr>
            <w:r>
              <w:rPr>
                <w:rFonts w:ascii="Times New Roman" w:hAnsi="Times New Roman"/>
                <w:color w:val="000000"/>
                <w:kern w:val="0"/>
                <w:szCs w:val="21"/>
              </w:rPr>
              <w:t>EGD23DS20</w:t>
            </w:r>
          </w:p>
        </w:tc>
        <w:tc>
          <w:tcPr>
            <w:tcW w:w="1635" w:type="dxa"/>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2023.1.1-2023.11.30</w:t>
            </w:r>
          </w:p>
        </w:tc>
      </w:tr>
    </w:tbl>
    <w:p>
      <w:pPr>
        <w:numPr>
          <w:ilvl w:val="0"/>
          <w:numId w:val="0"/>
        </w:numPr>
        <w:ind w:leftChars="0"/>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406E63"/>
    <w:multiLevelType w:val="singleLevel"/>
    <w:tmpl w:val="24406E6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YjM1ODQwMWQxNWNlNGE1MWMxNWFiYTkzNWY0YzEifQ=="/>
  </w:docVars>
  <w:rsids>
    <w:rsidRoot w:val="00000000"/>
    <w:rsid w:val="1A7F581E"/>
    <w:rsid w:val="2FC51ABF"/>
    <w:rsid w:val="3FD57736"/>
    <w:rsid w:val="4EC95307"/>
    <w:rsid w:val="5B904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 w:type="character" w:customStyle="1" w:styleId="5">
    <w:name w:val="font21"/>
    <w:basedOn w:val="3"/>
    <w:qFormat/>
    <w:uiPriority w:val="0"/>
    <w:rPr>
      <w:rFonts w:hint="default" w:ascii="Times New Roman" w:hAnsi="Times New Roman" w:cs="Times New Roman"/>
      <w:color w:val="000000"/>
      <w:sz w:val="24"/>
      <w:szCs w:val="24"/>
      <w:u w:val="none"/>
    </w:rPr>
  </w:style>
  <w:style w:type="character" w:customStyle="1" w:styleId="6">
    <w:name w:val="font01"/>
    <w:basedOn w:val="3"/>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2022-11-30T02:52:00Z</dcterms:created>
  <dc:creator>lenovo</dc:creator>
  <cp:lastModifiedBy>Lisa</cp:lastModifiedBy>
  <dcterms:modified xsi:type="dcterms:W3CDTF">2023-11-06T02:30:05Z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FC79587FB4DE4858AC3B66275A617525</vt:lpwstr>
  </property>
</Properties>
</file>